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523A" w14:textId="64C760F9" w:rsidR="00C20427" w:rsidRPr="00C34A00" w:rsidRDefault="006E3F08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4A00">
        <w:rPr>
          <w:rFonts w:asciiTheme="minorHAnsi" w:hAnsiTheme="minorHAnsi" w:cstheme="minorHAnsi"/>
          <w:b/>
          <w:sz w:val="20"/>
          <w:szCs w:val="20"/>
        </w:rPr>
        <w:t xml:space="preserve">Wymagania na poszczególne oceny do programu nauczania „Zrozumieć przeszłość” historii dla klasy </w:t>
      </w:r>
      <w:r w:rsidR="00937932" w:rsidRPr="00C34A00">
        <w:rPr>
          <w:rFonts w:asciiTheme="minorHAnsi" w:hAnsiTheme="minorHAnsi" w:cstheme="minorHAnsi"/>
          <w:b/>
          <w:sz w:val="20"/>
          <w:szCs w:val="20"/>
        </w:rPr>
        <w:t>2</w:t>
      </w:r>
      <w:r w:rsidR="00CA02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A00">
        <w:rPr>
          <w:rFonts w:asciiTheme="minorHAnsi" w:hAnsiTheme="minorHAnsi" w:cstheme="minorHAnsi"/>
          <w:b/>
          <w:sz w:val="20"/>
          <w:szCs w:val="20"/>
        </w:rPr>
        <w:t>liceum ogólnokształcącego i technikum</w:t>
      </w:r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Bartolomeu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Diaza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wyprawę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Juana Sebastiana </w:t>
            </w:r>
            <w:proofErr w:type="spellStart"/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Elcaño</w:t>
            </w:r>
            <w:proofErr w:type="spellEnd"/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oscanellego, Giovanniego </w:t>
            </w:r>
            <w:proofErr w:type="spellStart"/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opłynięcie przez Portugalczyków przylądka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Bojador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naczenie ekspansji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Hernána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Cortésa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hiszpańskich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Montezumy II,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Atahualpy</w:t>
            </w:r>
            <w:proofErr w:type="spellEnd"/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  <w:proofErr w:type="spellEnd"/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Niccolò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Machiavellego,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More’a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Miguela Cervantesa,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Françoisa </w:t>
            </w:r>
            <w:proofErr w:type="spellStart"/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Rabelaisa</w:t>
            </w:r>
            <w:proofErr w:type="spellEnd"/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Miguela Cervantesa, Baltazara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Castiglione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Albrechta Dürera</w:t>
            </w:r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C34A00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Michela de </w:t>
            </w:r>
            <w:proofErr w:type="spellStart"/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Montaigne’a</w:t>
            </w:r>
            <w:proofErr w:type="spellEnd"/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Tommaso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Pietera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Bruegela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Serveta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Paracelsusa</w:t>
            </w:r>
            <w:proofErr w:type="spellEnd"/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ystąpienie Marcina 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luteranizm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Münzera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edyktu Karola V 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Tetzla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Huttena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</w:t>
            </w:r>
            <w:proofErr w:type="spellStart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proofErr w:type="spellEnd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kryzysu w Kościele 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pod 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Marignano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Gwizjusza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tolerancyjny dla hugenotów (1562), rzeź w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Wassy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Coligny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</w:p>
          <w:p w14:paraId="0ED551B9" w14:textId="6B4A3E48" w:rsidR="000F695B" w:rsidRPr="00C34A00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Perrenot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Granvelle’a</w:t>
            </w:r>
            <w:proofErr w:type="spellEnd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Fernanda </w:t>
            </w:r>
            <w:proofErr w:type="spellStart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Álvareza</w:t>
            </w:r>
            <w:proofErr w:type="spellEnd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10. Ekspansja turecka i Europa 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samodzierżawie, kniaź, bojarzy, </w:t>
            </w:r>
            <w:proofErr w:type="spellStart"/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opricznina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bitwę pod Mohaczem 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uniezależnienie się Szwecji (1523), przyjęcie 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, 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przez Turków (1514), zdobycie Rodos przez Turków (1522), bitwę pod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Prevezą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grupy 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wieloetnicznego charakteru społeczeństwa 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 ziemskie, królewszczyzny, sejm zwykły, sejm nadzwyczajny (ekstraordynaryjny), sejmik 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1433), 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cerekwicki</w:t>
            </w:r>
            <w:proofErr w:type="spellEnd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przywilej mielnicki (1501), sejm piotrkowski (1504), I elekcję i koronację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i znaczenie króla w 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ominium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Maris</w:t>
            </w:r>
            <w:proofErr w:type="spellEnd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Baltici</w:t>
            </w:r>
            <w:proofErr w:type="spellEnd"/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Orszą</w:t>
            </w:r>
            <w:proofErr w:type="spellEnd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Ludwika Jagiellończyka, Jana Olbrachta,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Obertynem</w:t>
            </w:r>
            <w:proofErr w:type="spellEnd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Kiejstutowicza</w:t>
            </w:r>
            <w:proofErr w:type="spellEnd"/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proces upodabniania ustroju 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utworzenie piechoty wybranieckiej 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rolę Krakowa i dworu królewskiego w 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Samostrzelnika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Wawrzyńca Goślickiego, Andrzeja Krzyckiego, Jana Dantyszka, Klemensa Janickiego, Reinholda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Heidensteina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Wojciecha z Brudzewa, 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osiągnięcia w dziedzinie 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Naseby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Marston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Moor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II Stuarta, 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relacje 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Rocroi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Wittelsbacha</w:t>
            </w:r>
            <w:proofErr w:type="spellEnd"/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wyznaniową w Królestwie 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Lubece (1629),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Breitenfelden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(1631),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Ernsta von Mansfelda,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Bethlena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</w:t>
            </w:r>
            <w:proofErr w:type="spellEnd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Tilly’ego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  <w:proofErr w:type="spellEnd"/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XIII, Jules’a Mazarina,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  <w:proofErr w:type="spellEnd"/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Rijswijk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</w:t>
            </w:r>
            <w:proofErr w:type="spellStart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traktaty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zmagania między Anglią i Holandią były 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Regionu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Bredzie (1667),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Rijswik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(1697), antyhabsburskie powstanie na Węgrzech (1682), zdobycie Azowa (1696), bitwę pod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Zentą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proofErr w:type="spellStart"/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proofErr w:type="spellEnd"/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Zygmunta Hohenzollerna, Krystyny Wazy,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Axela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Oxenstierny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Imre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Thököly’ego</w:t>
            </w:r>
            <w:proofErr w:type="spellEnd"/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Diega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Velázqueza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Royal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Brueghel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</w:t>
            </w:r>
            <w:proofErr w:type="spellStart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Corneille’a</w:t>
            </w:r>
            <w:proofErr w:type="spellEnd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proofErr w:type="spellEnd"/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Guzowem (1607), bitwę pod Gniewem (1626), bitwy pod Tczewem i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Hamersztynem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plany Zygmunta III dotyczące 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Linköping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Dickmanna</w:t>
            </w:r>
            <w:proofErr w:type="spellEnd"/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relacje między Zygmuntem III Wazą a Janem 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  <w:proofErr w:type="spellEnd"/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  <w:proofErr w:type="spellEnd"/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Kłuszynem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zyczyny i 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wojnę 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Dywilinie</w:t>
            </w:r>
            <w:proofErr w:type="spellEnd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proofErr w:type="spellStart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Stołbowie</w:t>
            </w:r>
            <w:proofErr w:type="spellEnd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Mniszcha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</w:t>
            </w:r>
            <w:proofErr w:type="spellStart"/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geopolityczne 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chadzki</w:t>
            </w:r>
            <w:proofErr w:type="spellEnd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Korsuniem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Piławcami (1648), obronę Zbaraża 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Batohem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Ochmatowem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Połonką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Andruszowie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Wyhowskiego</w:t>
            </w:r>
            <w:proofErr w:type="spellEnd"/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Tuhaj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</w:t>
            </w:r>
            <w:proofErr w:type="spellStart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kurukowską</w:t>
            </w:r>
            <w:proofErr w:type="spellEnd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budzenia się świadomości etnicznej 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</w:t>
            </w:r>
            <w:proofErr w:type="spellStart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czasie potopu 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opisuje, jakie znaczenie dla państwa polskiego miały traktaty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objęcia tronu 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prohabsburskiego</w:t>
            </w:r>
            <w:proofErr w:type="spellEnd"/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Jaworowie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sytuacji 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społeczne 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oligarchizacji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  <w:proofErr w:type="spellEnd"/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kryzysu europejskiego w XVII w. na sytuację 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egzulantów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ideologii sarmatyzmu na styl życia i 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Baltazara Fontany, Daniela Naborowskiego, Macieja Miechowity, Marcina Bielskiego, Stanisława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Sarnickiego</w:t>
            </w:r>
            <w:proofErr w:type="spellEnd"/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potrydenckiej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Peetera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Danckersa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Rija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Daniela Schultza, Anny Stanisławskiej, Wacława Potockiego, Wespazjana 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Adama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Smitha</w:t>
            </w:r>
            <w:proofErr w:type="spellEnd"/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Jethro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Tulla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Kaya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Jamesa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Hargreavesa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Richarda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Arkwrighta</w:t>
            </w:r>
            <w:proofErr w:type="spellEnd"/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>ilozofia i myśl 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</w:t>
            </w:r>
            <w:proofErr w:type="spellStart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>Locke’a</w:t>
            </w:r>
            <w:proofErr w:type="spellEnd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Monteskiusza,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Lavoisiera, Karola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Linneusza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Laurence’a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Sterne’a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politycznej 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przyjęcie przez Piotra I tytułu imperatora </w:t>
            </w:r>
            <w:proofErr w:type="spellStart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Wszechrosji</w:t>
            </w:r>
            <w:proofErr w:type="spellEnd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</w:t>
            </w:r>
            <w:proofErr w:type="spellStart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proofErr w:type="spellEnd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Nystad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panowanie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reformy wojskowe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Przemiany polityczne w 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proofErr w:type="spellStart"/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parlamentarno</w:t>
            </w:r>
            <w:proofErr w:type="spellEnd"/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Hubertusburgu</w:t>
            </w:r>
            <w:proofErr w:type="spellEnd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pierwszy 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>y 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I Kongres Kontynentalny (1774), II Kongres 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Lexington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innymi państwami niż Wielka Brytania (1775),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Bunker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von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Steubena</w:t>
            </w:r>
            <w:proofErr w:type="spellEnd"/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symbole 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Przewrót </w:t>
            </w:r>
            <w:proofErr w:type="spellStart"/>
            <w:r w:rsidRPr="00C34A00">
              <w:rPr>
                <w:rFonts w:cstheme="minorHAnsi"/>
                <w:sz w:val="20"/>
                <w:szCs w:val="20"/>
              </w:rPr>
              <w:t>termidoriański</w:t>
            </w:r>
            <w:proofErr w:type="spellEnd"/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Valmy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 w </w:t>
            </w:r>
            <w:proofErr w:type="spellStart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Altranstädt</w:t>
            </w:r>
            <w:proofErr w:type="spellEnd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  <w:proofErr w:type="spellEnd"/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wprowadzenia 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Brühla</w:t>
            </w:r>
            <w:proofErr w:type="spellEnd"/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Ostatnia wolna elekcja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pierwszych lat panowania 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</w:t>
            </w:r>
            <w:proofErr w:type="spellStart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repninowski</w:t>
            </w:r>
            <w:proofErr w:type="spellEnd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Kajetana Sołtyka, 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postanowienia sejmu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repninowskiego</w:t>
            </w:r>
            <w:proofErr w:type="spellEnd"/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Pincka</w:t>
            </w:r>
            <w:proofErr w:type="spellEnd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</w:t>
            </w:r>
            <w:proofErr w:type="spellStart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Chróścikowskiego</w:t>
            </w:r>
            <w:proofErr w:type="spellEnd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Konstytucję 3 maja 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</w:t>
            </w:r>
            <w:proofErr w:type="spellEnd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Piattolego</w:t>
            </w:r>
            <w:proofErr w:type="spellEnd"/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proofErr w:type="spellStart"/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>przestrzni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Iwana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Fersena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Ożarowskiego, Józefa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Ankwicza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proofErr w:type="spellStart"/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  <w:proofErr w:type="spellEnd"/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brumaire’a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Formio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pokoj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Lunéville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przejęcie przez Napoleona dowództwa nad wojskami we Włoszech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Mondovi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Lodi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powstanie Republiki 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</w:t>
            </w:r>
            <w:proofErr w:type="spellStart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Jourdana</w:t>
            </w:r>
            <w:proofErr w:type="spellEnd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François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Champolliona</w:t>
            </w:r>
            <w:proofErr w:type="spellEnd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Emmanuela Josepha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Rogera </w:t>
            </w:r>
            <w:proofErr w:type="spellStart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Ducosa</w:t>
            </w:r>
            <w:proofErr w:type="spellEnd"/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Auerstedt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(1806), bitwę pod Iławą Pruską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Frydlandem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Preszburgu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Schönbrunn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styl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empire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Civita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Castellana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Trebią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Novi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Legnano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Magnano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Barssa</w:t>
            </w:r>
            <w:proofErr w:type="spellEnd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87BB" w14:textId="77777777" w:rsidR="00CA0258" w:rsidRDefault="00CA0258" w:rsidP="003275C4">
      <w:pPr>
        <w:spacing w:after="0" w:line="240" w:lineRule="auto"/>
      </w:pPr>
      <w:r>
        <w:separator/>
      </w:r>
    </w:p>
  </w:endnote>
  <w:endnote w:type="continuationSeparator" w:id="0">
    <w:p w14:paraId="71D251F7" w14:textId="77777777" w:rsidR="00CA0258" w:rsidRDefault="00CA0258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1EED" w14:textId="77777777" w:rsidR="00CA0258" w:rsidRDefault="00CA0258" w:rsidP="003275C4">
      <w:pPr>
        <w:spacing w:after="0" w:line="240" w:lineRule="auto"/>
      </w:pPr>
      <w:r>
        <w:separator/>
      </w:r>
    </w:p>
  </w:footnote>
  <w:footnote w:type="continuationSeparator" w:id="0">
    <w:p w14:paraId="3D0FA484" w14:textId="77777777" w:rsidR="00CA0258" w:rsidRDefault="00CA0258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23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A"/>
    <w:rsid w:val="00007404"/>
    <w:rsid w:val="00014C11"/>
    <w:rsid w:val="00033E92"/>
    <w:rsid w:val="00037B34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6852"/>
    <w:rsid w:val="0085064F"/>
    <w:rsid w:val="00850C83"/>
    <w:rsid w:val="008562C9"/>
    <w:rsid w:val="008600D3"/>
    <w:rsid w:val="00863EC0"/>
    <w:rsid w:val="00864DF1"/>
    <w:rsid w:val="0087099C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BE7"/>
    <w:rsid w:val="00B05E90"/>
    <w:rsid w:val="00B10674"/>
    <w:rsid w:val="00B1149B"/>
    <w:rsid w:val="00B225D4"/>
    <w:rsid w:val="00B34F27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44C76"/>
    <w:rsid w:val="00D62D96"/>
    <w:rsid w:val="00D64A35"/>
    <w:rsid w:val="00D67AAC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F401-1E1E-474D-BB3F-C17C450E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42</Pages>
  <Words>15626</Words>
  <Characters>93761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Anna Pietrzak</cp:lastModifiedBy>
  <cp:revision>18</cp:revision>
  <dcterms:created xsi:type="dcterms:W3CDTF">2020-06-19T09:45:00Z</dcterms:created>
  <dcterms:modified xsi:type="dcterms:W3CDTF">2020-07-14T03:48:00Z</dcterms:modified>
</cp:coreProperties>
</file>