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>podstawowy. Część I</w:t>
      </w: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Pr="00F82359" w:rsidRDefault="0060396A" w:rsidP="0060396A">
      <w:pPr>
        <w:rPr>
          <w:b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3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40"/>
          <w:szCs w:val="40"/>
        </w:rPr>
      </w:pP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sz w:val="48"/>
          <w:szCs w:val="48"/>
        </w:rPr>
        <w:t>Wymagania edukacyjne na poszczególne oceny</w:t>
      </w:r>
    </w:p>
    <w:p w:rsidR="0060396A" w:rsidRPr="00400F36" w:rsidRDefault="0060396A" w:rsidP="0060396A">
      <w:pPr>
        <w:jc w:val="center"/>
        <w:rPr>
          <w:b/>
          <w:sz w:val="48"/>
          <w:szCs w:val="48"/>
        </w:rPr>
      </w:pPr>
      <w:r w:rsidRPr="00400F36">
        <w:rPr>
          <w:b/>
          <w:i/>
          <w:sz w:val="48"/>
          <w:szCs w:val="48"/>
        </w:rPr>
        <w:t>Oblicza geografii</w:t>
      </w:r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>podstawowy. Część II</w:t>
      </w: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Pr="00F82359" w:rsidRDefault="0060396A" w:rsidP="0060396A">
      <w:pPr>
        <w:rPr>
          <w:b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rPr>
          <w:b/>
          <w:sz w:val="40"/>
          <w:szCs w:val="40"/>
        </w:rPr>
      </w:pPr>
    </w:p>
    <w:p w:rsidR="0060396A" w:rsidRDefault="0060396A" w:rsidP="0060396A">
      <w:pPr>
        <w:jc w:val="center"/>
        <w:rPr>
          <w:b/>
          <w:sz w:val="32"/>
          <w:szCs w:val="32"/>
        </w:rPr>
      </w:pPr>
    </w:p>
    <w:p w:rsidR="0060396A" w:rsidRDefault="0060396A" w:rsidP="0060396A">
      <w:pPr>
        <w:jc w:val="center"/>
        <w:rPr>
          <w:b/>
          <w:sz w:val="32"/>
          <w:szCs w:val="32"/>
        </w:rPr>
      </w:pPr>
    </w:p>
    <w:p w:rsidR="0060396A" w:rsidRPr="00400F36" w:rsidRDefault="0060396A" w:rsidP="0060396A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  <w:r w:rsidRPr="00400F36">
        <w:rPr>
          <w:b/>
          <w:sz w:val="30"/>
          <w:szCs w:val="30"/>
        </w:rPr>
        <w:t>§ 52 Statutu IX Liceum Ogólnokształcącego im. Wisławy Szymborskiej w Sosnowcu</w:t>
      </w:r>
    </w:p>
    <w:p w:rsidR="0060396A" w:rsidRDefault="0060396A" w:rsidP="0060396A">
      <w:pPr>
        <w:jc w:val="center"/>
      </w:pPr>
    </w:p>
    <w:p w:rsidR="0060396A" w:rsidRPr="00400F36" w:rsidRDefault="0060396A" w:rsidP="0060396A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lastRenderedPageBreak/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60396A" w:rsidRPr="00372BC9" w:rsidRDefault="0060396A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B państw znajdujących się na różnych poziomach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etnicznewybranych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zróżnicowanianarodowościowego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przedstawia gęstość zaludnienia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pozaprzyrodniczych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lastRenderedPageBreak/>
              <w:t xml:space="preserve">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pojemność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77" w:rsidRDefault="00381D77" w:rsidP="00F406B9">
      <w:r>
        <w:separator/>
      </w:r>
    </w:p>
  </w:endnote>
  <w:endnote w:type="continuationSeparator" w:id="1">
    <w:p w:rsidR="00381D77" w:rsidRDefault="00381D7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77" w:rsidRDefault="00381D77" w:rsidP="00F406B9">
      <w:r>
        <w:separator/>
      </w:r>
    </w:p>
  </w:footnote>
  <w:footnote w:type="continuationSeparator" w:id="1">
    <w:p w:rsidR="00381D77" w:rsidRDefault="00381D7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58C4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1D77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396A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0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4114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2018-11-05T13:02:00Z</cp:lastPrinted>
  <dcterms:created xsi:type="dcterms:W3CDTF">2021-09-15T08:04:00Z</dcterms:created>
  <dcterms:modified xsi:type="dcterms:W3CDTF">2021-09-15T08:04:00Z</dcterms:modified>
</cp:coreProperties>
</file>